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</w:t>
      </w:r>
      <w:r w:rsidR="00095BC8">
        <w:rPr>
          <w:rFonts w:cs="Times New Roman"/>
          <w:sz w:val="30"/>
          <w:szCs w:val="30"/>
        </w:rPr>
        <w:lastRenderedPageBreak/>
        <w:t xml:space="preserve">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</w:t>
      </w:r>
      <w:proofErr w:type="spellStart"/>
      <w:r w:rsidRPr="00643EAB">
        <w:rPr>
          <w:i/>
          <w:szCs w:val="28"/>
        </w:rPr>
        <w:t>энерго</w:t>
      </w:r>
      <w:proofErr w:type="spellEnd"/>
      <w:r w:rsidRPr="00643EAB">
        <w:rPr>
          <w:i/>
          <w:szCs w:val="28"/>
        </w:rPr>
        <w:t xml:space="preserve">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lastRenderedPageBreak/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lastRenderedPageBreak/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 xml:space="preserve">Верховного Суда Республики </w:t>
      </w:r>
      <w:r w:rsidRPr="00B46076">
        <w:rPr>
          <w:b/>
          <w:sz w:val="30"/>
          <w:szCs w:val="30"/>
        </w:rPr>
        <w:lastRenderedPageBreak/>
        <w:t>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</w:t>
      </w:r>
      <w:r w:rsidR="00BB08D5" w:rsidRPr="00E40894">
        <w:rPr>
          <w:b/>
          <w:sz w:val="30"/>
          <w:szCs w:val="30"/>
        </w:rPr>
        <w:lastRenderedPageBreak/>
        <w:t>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lastRenderedPageBreak/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lastRenderedPageBreak/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lastRenderedPageBreak/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деструктивное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lastRenderedPageBreak/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EE" w:rsidRDefault="00296CEE" w:rsidP="0090513E">
      <w:pPr>
        <w:spacing w:after="0" w:line="240" w:lineRule="auto"/>
      </w:pPr>
      <w:r>
        <w:separator/>
      </w:r>
    </w:p>
  </w:endnote>
  <w:endnote w:type="continuationSeparator" w:id="0">
    <w:p w:rsidR="00296CEE" w:rsidRDefault="00296CEE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EE" w:rsidRDefault="00296CEE" w:rsidP="0090513E">
      <w:pPr>
        <w:spacing w:after="0" w:line="240" w:lineRule="auto"/>
      </w:pPr>
      <w:r>
        <w:separator/>
      </w:r>
    </w:p>
  </w:footnote>
  <w:footnote w:type="continuationSeparator" w:id="0">
    <w:p w:rsidR="00296CEE" w:rsidRDefault="00296CEE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AD8">
          <w:rPr>
            <w:noProof/>
          </w:rPr>
          <w:t>13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96CEE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0AD8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CF575-6F41-4785-B52F-8D7BBD4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info1</cp:lastModifiedBy>
  <cp:revision>2</cp:revision>
  <cp:lastPrinted>2024-04-01T12:08:00Z</cp:lastPrinted>
  <dcterms:created xsi:type="dcterms:W3CDTF">2024-04-03T05:02:00Z</dcterms:created>
  <dcterms:modified xsi:type="dcterms:W3CDTF">2024-04-03T05:02:00Z</dcterms:modified>
</cp:coreProperties>
</file>