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5EB0" w:rsidRDefault="00C35EB0" w:rsidP="00C35EB0">
      <w:pPr>
        <w:adjustRightInd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35EB0">
        <w:rPr>
          <w:rFonts w:ascii="Times New Roman" w:hAnsi="Times New Roman" w:cs="Times New Roman"/>
          <w:b/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58240" behindDoc="0" locked="0" layoutInCell="1" allowOverlap="1" wp14:anchorId="328AD3DC" wp14:editId="12EE65E2">
            <wp:simplePos x="0" y="0"/>
            <wp:positionH relativeFrom="column">
              <wp:posOffset>370840</wp:posOffset>
            </wp:positionH>
            <wp:positionV relativeFrom="paragraph">
              <wp:posOffset>60325</wp:posOffset>
            </wp:positionV>
            <wp:extent cx="1104900" cy="1104900"/>
            <wp:effectExtent l="0" t="0" r="0" b="0"/>
            <wp:wrapSquare wrapText="bothSides"/>
            <wp:docPr id="1" name="Рисунок 1" descr="\\Srv7\TO20\ДеньСтандартизации2026\сайт\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7\TO20\ДеньСтандартизации2026\сайт\0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35B2" w:rsidRDefault="0081450A" w:rsidP="00EF2AD2">
      <w:pPr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5C7">
        <w:rPr>
          <w:rFonts w:ascii="Times New Roman" w:hAnsi="Times New Roman" w:cs="Times New Roman"/>
          <w:b/>
          <w:sz w:val="28"/>
          <w:szCs w:val="28"/>
        </w:rPr>
        <w:t>Тематическая подборка государственных стандартов, принятых в Республике Беларусь в 2021 – 2026 годах</w:t>
      </w:r>
      <w:r w:rsidR="00700B6F">
        <w:rPr>
          <w:rFonts w:ascii="Times New Roman" w:hAnsi="Times New Roman" w:cs="Times New Roman"/>
          <w:b/>
          <w:sz w:val="28"/>
          <w:szCs w:val="28"/>
        </w:rPr>
        <w:t>,</w:t>
      </w:r>
      <w:r w:rsidRPr="000755C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1450A" w:rsidRPr="000755C7" w:rsidRDefault="0081450A" w:rsidP="00BB35B2">
      <w:pPr>
        <w:adjustRightInd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5C7">
        <w:rPr>
          <w:rFonts w:ascii="Times New Roman" w:hAnsi="Times New Roman" w:cs="Times New Roman"/>
          <w:b/>
          <w:sz w:val="28"/>
          <w:szCs w:val="28"/>
        </w:rPr>
        <w:t xml:space="preserve">в поддержку достижения </w:t>
      </w:r>
    </w:p>
    <w:p w:rsidR="00991402" w:rsidRPr="000755C7" w:rsidRDefault="000F3B12" w:rsidP="00EF2AD2">
      <w:pPr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5C7">
        <w:rPr>
          <w:rFonts w:ascii="Times New Roman" w:hAnsi="Times New Roman" w:cs="Times New Roman"/>
          <w:b/>
          <w:sz w:val="28"/>
          <w:szCs w:val="28"/>
        </w:rPr>
        <w:t xml:space="preserve">ЦУР 7 </w:t>
      </w:r>
      <w:r w:rsidR="0081450A" w:rsidRPr="000755C7">
        <w:rPr>
          <w:rFonts w:ascii="Times New Roman" w:hAnsi="Times New Roman" w:cs="Times New Roman"/>
          <w:b/>
          <w:sz w:val="28"/>
          <w:szCs w:val="28"/>
        </w:rPr>
        <w:t>«</w:t>
      </w:r>
      <w:r w:rsidRPr="000755C7">
        <w:rPr>
          <w:rFonts w:ascii="Times New Roman" w:hAnsi="Times New Roman" w:cs="Times New Roman"/>
          <w:b/>
          <w:sz w:val="28"/>
          <w:szCs w:val="28"/>
        </w:rPr>
        <w:t>Недорогостоящая и чистая энергия</w:t>
      </w:r>
      <w:r w:rsidR="0081450A" w:rsidRPr="000755C7">
        <w:rPr>
          <w:rFonts w:ascii="Times New Roman" w:hAnsi="Times New Roman" w:cs="Times New Roman"/>
          <w:b/>
          <w:sz w:val="28"/>
          <w:szCs w:val="28"/>
        </w:rPr>
        <w:t>»</w:t>
      </w:r>
    </w:p>
    <w:p w:rsidR="000F3B12" w:rsidRPr="000755C7" w:rsidRDefault="000F3B12">
      <w:pPr>
        <w:adjustRightInd/>
        <w:rPr>
          <w:rFonts w:ascii="Times New Roman" w:hAnsi="Times New Roman" w:cs="Times New Roman"/>
          <w:sz w:val="28"/>
          <w:szCs w:val="28"/>
        </w:rPr>
      </w:pPr>
    </w:p>
    <w:p w:rsidR="00C35EB0" w:rsidRDefault="00C35EB0">
      <w:pPr>
        <w:adjustRightInd/>
        <w:rPr>
          <w:rFonts w:ascii="Times New Roman" w:hAnsi="Times New Roman" w:cs="Times New Roman"/>
          <w:b/>
          <w:sz w:val="28"/>
          <w:szCs w:val="28"/>
        </w:rPr>
      </w:pPr>
    </w:p>
    <w:p w:rsidR="00E9442D" w:rsidRPr="000755C7" w:rsidRDefault="00E9442D">
      <w:pPr>
        <w:adjustRightInd/>
        <w:rPr>
          <w:rFonts w:ascii="Times New Roman" w:hAnsi="Times New Roman" w:cs="Times New Roman"/>
          <w:b/>
          <w:sz w:val="28"/>
          <w:szCs w:val="28"/>
        </w:rPr>
      </w:pPr>
      <w:r w:rsidRPr="000755C7">
        <w:rPr>
          <w:rFonts w:ascii="Times New Roman" w:hAnsi="Times New Roman" w:cs="Times New Roman"/>
          <w:b/>
          <w:sz w:val="28"/>
          <w:szCs w:val="28"/>
        </w:rPr>
        <w:t xml:space="preserve">Атомная энергетика </w:t>
      </w:r>
    </w:p>
    <w:p w:rsidR="00E9442D" w:rsidRPr="000755C7" w:rsidRDefault="00E9442D">
      <w:pPr>
        <w:adjustRightInd/>
        <w:rPr>
          <w:rFonts w:ascii="Times New Roman" w:hAnsi="Times New Roman" w:cs="Times New Roman"/>
          <w:sz w:val="28"/>
          <w:szCs w:val="28"/>
        </w:rPr>
      </w:pPr>
    </w:p>
    <w:tbl>
      <w:tblPr>
        <w:tblW w:w="10485" w:type="dxa"/>
        <w:tblLayout w:type="fixed"/>
        <w:tblLook w:val="0000" w:firstRow="0" w:lastRow="0" w:firstColumn="0" w:lastColumn="0" w:noHBand="0" w:noVBand="0"/>
      </w:tblPr>
      <w:tblGrid>
        <w:gridCol w:w="3114"/>
        <w:gridCol w:w="7371"/>
      </w:tblGrid>
      <w:tr w:rsidR="00E9442D" w:rsidRPr="000755C7" w:rsidTr="000755C7">
        <w:trPr>
          <w:tblHeader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Обозначение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</w:tr>
      <w:tr w:rsidR="00E9442D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ГОСТ 32137-2025</w:t>
            </w:r>
            <w:r w:rsidRPr="000755C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(IEC 62003:2020)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Системы контроля, управления и электротехнические системы атомных станций. Требования и методы испытаний на электромагнитную совместимость </w:t>
            </w:r>
          </w:p>
        </w:tc>
      </w:tr>
      <w:tr w:rsidR="00E9442D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6527-2021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Атомные электростанции. Обмен данными о надежности. Общие критерии </w:t>
            </w:r>
          </w:p>
        </w:tc>
      </w:tr>
      <w:tr w:rsidR="00E9442D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7385-2021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Атомные электростанции. Основные принципы обеспечения качества полученных данных по надежности </w:t>
            </w:r>
          </w:p>
        </w:tc>
      </w:tr>
      <w:tr w:rsidR="00E9442D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7753-2021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Энергетика атомная. Требования к эксплуатационным характеристикам и испытаниям систем обнаружения критического состояния и систем предупредительной сигнализации </w:t>
            </w:r>
          </w:p>
        </w:tc>
      </w:tr>
      <w:tr w:rsidR="00E9442D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15080-2021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Ядерные установки. Вентиляционные проходки экранирующих оболочек </w:t>
            </w:r>
          </w:p>
        </w:tc>
      </w:tr>
      <w:tr w:rsidR="00E9442D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16117-2021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Безопасность ядерная, связанная с критичностью. Оценка количества делений при постулируемой аварии с возникновением критичности </w:t>
            </w:r>
          </w:p>
        </w:tc>
      </w:tr>
      <w:tr w:rsidR="00E9442D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16797-2021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Атомная энергетика. Анализ на химическую устойчивость методом Сокслета. Применение к остеклованным матрицам для высокоактивных радиоактивных отходов </w:t>
            </w:r>
          </w:p>
        </w:tc>
      </w:tr>
      <w:tr w:rsidR="00E9442D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17873-2021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Ядерные установки. Критерии проектирования и эксплуатации систем вентиляции ядерных установок, кроме ядерных реакторов </w:t>
            </w:r>
          </w:p>
        </w:tc>
      </w:tr>
      <w:tr w:rsidR="00E9442D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26802-2022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Ядерные установки. Критерии проектирования и эксплуатации систем защитной оболочки и вентиляции ядерных реакторов </w:t>
            </w:r>
          </w:p>
        </w:tc>
      </w:tr>
    </w:tbl>
    <w:p w:rsidR="00E9442D" w:rsidRPr="000755C7" w:rsidRDefault="00E9442D">
      <w:pPr>
        <w:adjustRightInd/>
        <w:rPr>
          <w:rFonts w:ascii="Times New Roman" w:hAnsi="Times New Roman" w:cs="Times New Roman"/>
          <w:sz w:val="28"/>
          <w:szCs w:val="28"/>
        </w:rPr>
      </w:pPr>
    </w:p>
    <w:p w:rsidR="00E9442D" w:rsidRPr="000755C7" w:rsidRDefault="00E9442D" w:rsidP="00E9442D">
      <w:pPr>
        <w:adjustRightInd/>
        <w:rPr>
          <w:rFonts w:ascii="Times New Roman" w:hAnsi="Times New Roman" w:cs="Times New Roman"/>
          <w:b/>
          <w:sz w:val="28"/>
          <w:szCs w:val="28"/>
        </w:rPr>
      </w:pPr>
      <w:r w:rsidRPr="000755C7">
        <w:rPr>
          <w:rFonts w:ascii="Times New Roman" w:hAnsi="Times New Roman" w:cs="Times New Roman"/>
          <w:b/>
          <w:sz w:val="28"/>
          <w:szCs w:val="28"/>
        </w:rPr>
        <w:t>Системы ветровых энергетических турбин</w:t>
      </w:r>
    </w:p>
    <w:p w:rsidR="00E9442D" w:rsidRPr="000755C7" w:rsidRDefault="00E9442D" w:rsidP="00E9442D">
      <w:pPr>
        <w:adjustRightInd/>
        <w:rPr>
          <w:rFonts w:ascii="Times New Roman" w:hAnsi="Times New Roman" w:cs="Times New Roman"/>
          <w:sz w:val="28"/>
          <w:szCs w:val="28"/>
        </w:rPr>
      </w:pPr>
    </w:p>
    <w:tbl>
      <w:tblPr>
        <w:tblW w:w="10485" w:type="dxa"/>
        <w:tblLayout w:type="fixed"/>
        <w:tblLook w:val="0000" w:firstRow="0" w:lastRow="0" w:firstColumn="0" w:lastColumn="0" w:noHBand="0" w:noVBand="0"/>
      </w:tblPr>
      <w:tblGrid>
        <w:gridCol w:w="3114"/>
        <w:gridCol w:w="7371"/>
      </w:tblGrid>
      <w:tr w:rsidR="007503E4" w:rsidRPr="000755C7" w:rsidTr="000755C7">
        <w:trPr>
          <w:tblHeader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Обозначение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IEC 61400-1-2024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Системы генерации энергии ветра. Часть 1. Требования к конструкции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ГОСТ IEC 61400-25-1-2024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Системы генерации энергии ветра. Часть 25-1. Связи для мониторинга и управления ветряными электростанциями. Общее описание принципов и моделей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IEC 61400-25-3-2024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Ветрогенераторы. Часть 25-3. Связи для мониторинга и управления ветряными электростанциями. Модели обмена информацией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IEC TS 62257-1-2024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Электрификация села. Системы с возобновляемыми источниками энергии и гибридные системы малой мощности. Часть 1. Общие положения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IEC TS 62257-2-2024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Электрификация сельских районов. Системы с возобновляемыми источниками энергии и гибридные системы. Часть 2. Требования к системам электрификации </w:t>
            </w:r>
          </w:p>
        </w:tc>
      </w:tr>
    </w:tbl>
    <w:p w:rsidR="00E9442D" w:rsidRPr="000755C7" w:rsidRDefault="00E9442D" w:rsidP="00E9442D">
      <w:pPr>
        <w:adjustRightInd/>
        <w:rPr>
          <w:rFonts w:ascii="Times New Roman" w:hAnsi="Times New Roman" w:cs="Times New Roman"/>
          <w:sz w:val="28"/>
          <w:szCs w:val="28"/>
        </w:rPr>
      </w:pPr>
    </w:p>
    <w:p w:rsidR="00FB272C" w:rsidRPr="000755C7" w:rsidRDefault="00FB272C" w:rsidP="00FB272C">
      <w:pPr>
        <w:adjustRightInd/>
        <w:rPr>
          <w:rFonts w:ascii="Times New Roman" w:hAnsi="Times New Roman" w:cs="Times New Roman"/>
          <w:b/>
          <w:sz w:val="28"/>
          <w:szCs w:val="28"/>
        </w:rPr>
      </w:pPr>
      <w:r w:rsidRPr="000755C7">
        <w:rPr>
          <w:rFonts w:ascii="Times New Roman" w:hAnsi="Times New Roman" w:cs="Times New Roman"/>
          <w:b/>
          <w:sz w:val="28"/>
          <w:szCs w:val="28"/>
        </w:rPr>
        <w:t xml:space="preserve">Топливо из </w:t>
      </w:r>
      <w:r w:rsidR="00EF2AD2" w:rsidRPr="000755C7">
        <w:rPr>
          <w:rFonts w:ascii="Times New Roman" w:hAnsi="Times New Roman" w:cs="Times New Roman"/>
          <w:b/>
          <w:sz w:val="28"/>
          <w:szCs w:val="28"/>
        </w:rPr>
        <w:t>альтернативных</w:t>
      </w:r>
      <w:r w:rsidRPr="000755C7">
        <w:rPr>
          <w:rFonts w:ascii="Times New Roman" w:hAnsi="Times New Roman" w:cs="Times New Roman"/>
          <w:b/>
          <w:sz w:val="28"/>
          <w:szCs w:val="28"/>
        </w:rPr>
        <w:t xml:space="preserve"> источников энергии</w:t>
      </w:r>
    </w:p>
    <w:p w:rsidR="00FB272C" w:rsidRPr="000755C7" w:rsidRDefault="00FB272C" w:rsidP="00FB272C">
      <w:pPr>
        <w:adjustRightInd/>
        <w:rPr>
          <w:rFonts w:ascii="Times New Roman" w:hAnsi="Times New Roman" w:cs="Times New Roman"/>
          <w:sz w:val="28"/>
          <w:szCs w:val="28"/>
        </w:rPr>
      </w:pPr>
    </w:p>
    <w:tbl>
      <w:tblPr>
        <w:tblW w:w="10343" w:type="dxa"/>
        <w:tblLayout w:type="fixed"/>
        <w:tblLook w:val="0000" w:firstRow="0" w:lastRow="0" w:firstColumn="0" w:lastColumn="0" w:noHBand="0" w:noVBand="0"/>
      </w:tblPr>
      <w:tblGrid>
        <w:gridCol w:w="3114"/>
        <w:gridCol w:w="7229"/>
      </w:tblGrid>
      <w:tr w:rsidR="007503E4" w:rsidRPr="000755C7" w:rsidTr="000755C7">
        <w:trPr>
          <w:tblHeader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Обозначение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17831-1-2025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Биотопливо твердое. Определение механической прочности гранул и брикетов. Часть 1. Гранулы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21637-2024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Топливо твердое из коммунальных отходов. Словарь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21640-2024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Топливо твердое из коммунальных отходов. Технические характеристики и классы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21644-2024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Топливо твердое из коммунальных отходов. Методы определения содержания биомассы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21645-2024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Топливо твердое из коммунальных отходов. Методы отбора проб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21646-2024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Топливо твердое из коммунальных отходов. Подготовка проб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21654-2024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Топливо твердое из коммунальных отходов. Определение теплоты сгорания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21656-2024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Топливо твердое из коммунальных отходов. Определение зольности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21660-3-2024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Топливо твердое из коммунальных отходов. Метод определения содержания влаги высушиванием. Часть 3. Влага в аналитической пробе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21663-2024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Топливо твердое из коммунальных отходов. Определение содержания углерода С, водорода Н, азота N и серы S инструментальным методом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21912-2024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Топливо твердое из коммунальных отходов. Безопасное обращение и хранение топлива твердого из коммунальных отходов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СТБ ISO 22167-2024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Топливо твердое из коммунальных отходов. Определение выхода летучих веществ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22940-2024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Топливо твердое из коммунальных отходов. Определение элементного состава методом рентгеновской флуоресценции </w:t>
            </w:r>
          </w:p>
        </w:tc>
      </w:tr>
    </w:tbl>
    <w:p w:rsidR="00FB272C" w:rsidRPr="000755C7" w:rsidRDefault="00FB272C" w:rsidP="00FB272C">
      <w:pPr>
        <w:adjustRightInd/>
        <w:rPr>
          <w:rFonts w:ascii="Times New Roman" w:hAnsi="Times New Roman" w:cs="Times New Roman"/>
          <w:sz w:val="28"/>
          <w:szCs w:val="28"/>
        </w:rPr>
      </w:pPr>
    </w:p>
    <w:p w:rsidR="006C774C" w:rsidRPr="000755C7" w:rsidRDefault="006C774C" w:rsidP="006C774C">
      <w:pPr>
        <w:adjustRightInd/>
        <w:rPr>
          <w:rFonts w:ascii="Times New Roman" w:hAnsi="Times New Roman" w:cs="Times New Roman"/>
          <w:b/>
          <w:sz w:val="28"/>
          <w:szCs w:val="28"/>
        </w:rPr>
      </w:pPr>
      <w:r w:rsidRPr="000755C7">
        <w:rPr>
          <w:rFonts w:ascii="Times New Roman" w:hAnsi="Times New Roman" w:cs="Times New Roman"/>
          <w:b/>
          <w:sz w:val="28"/>
          <w:szCs w:val="28"/>
        </w:rPr>
        <w:t xml:space="preserve">Нефтяные продукты </w:t>
      </w:r>
    </w:p>
    <w:p w:rsidR="006C774C" w:rsidRPr="000755C7" w:rsidRDefault="006C774C" w:rsidP="006C774C">
      <w:pPr>
        <w:adjustRightInd/>
        <w:rPr>
          <w:rFonts w:ascii="Times New Roman" w:hAnsi="Times New Roman" w:cs="Times New Roman"/>
          <w:sz w:val="28"/>
          <w:szCs w:val="28"/>
        </w:rPr>
      </w:pPr>
    </w:p>
    <w:tbl>
      <w:tblPr>
        <w:tblW w:w="10343" w:type="dxa"/>
        <w:tblLayout w:type="fixed"/>
        <w:tblLook w:val="0000" w:firstRow="0" w:lastRow="0" w:firstColumn="0" w:lastColumn="0" w:noHBand="0" w:noVBand="0"/>
      </w:tblPr>
      <w:tblGrid>
        <w:gridCol w:w="3114"/>
        <w:gridCol w:w="7229"/>
      </w:tblGrid>
      <w:tr w:rsidR="007503E4" w:rsidRPr="000755C7" w:rsidTr="00700B6F">
        <w:trPr>
          <w:tblHeader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Обозначение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1437-2024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 темные. Определение содержания серы сжиганием в струе воздуха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1461-2023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Нефть и нефтепродукты. Метод определения зольности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1510-2022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Нефть и нефтепродукты. Маркировка, упаковка, транспортирование и хранение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3900-2022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Нефть и нефтепродукты. Методы определения плотности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ГОСТ 4333-2021</w:t>
            </w:r>
            <w:r w:rsidRPr="000755C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(ISO 2592:2017)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Нефтепродукты. Методы определения температур вспышки и воспламенения в открытом тигле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5985-2022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Нефтепродукты. Метод определения кислотности и кислотного числа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6356-2025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Нефтепродукты. Метод определения температуры вспышки в закрытом тигле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8581-2021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Масла моторные для автотракторных дизелей. Технические условия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12329-2021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 и углеводородные растворители. Метод определения анилиновой точки и ароматических углеводородов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ГОСТ 20287-2023</w:t>
            </w:r>
            <w:r w:rsidRPr="000755C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(ISO 3016:2019)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Нефтепродукты. Методы определения температур текучести и застывания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21261-2021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Нефтепродукты. Метод определения высшей теплоты сгорания и вычисление низшей теплоты сгорания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23652-2023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Масла трансмиссионные. Технические условия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28781-2025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Нефть и нефтепродукты. Метод определения давления насыщенных паров на аппарате с механическим диспергированием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32139-2024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Нефть и нефтепродукты. Определение содержания серы методом энергодисперсионной рентгенофлуоресцентной спектрометрии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32329-2025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Нефтепродукты. Определение коррозионного воздействия на медную пластинку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35118-2024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Нефтепродукты. Определение содержания воды методом кулонометрического титрования по Карлу Фишеру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ГОСТ 35332-2026</w:t>
            </w:r>
            <w:r w:rsidRPr="000755C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(ISO 13736:2021)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 и другие жидкости. Метод определения температуры вспышки на приборе Абеля с закрытым тиглем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EN 12916-2022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Нефтепродукты. Определение типов ароматических углеводородов в средних дистиллятах. Метод высокоэффективной жидкостной хроматографии с обнаружением по показателю преломления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EN 13016-1-2022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 жидкие. Часть 1. Определение давления насыщенных паров, содержащих воздух, и расчет эквивалентного давления сухих паров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EN 15470-2022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Газы углеводородные сжиженные. Определение растворенного остатка методом высокотемпературной газовой хроматографии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ISO 3015-2022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 и родственные им продукты природного или синтетического происхождения. Определение температуры помутнения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ISO 3170-2022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 жидкие. Ручные методы отбора проб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ISO 3405-2022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Нефтепродукты. Определение фракционного состава при атмосферном давлении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ISO 12185-2009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Нефть и нефтепродукты. Определение плотности с использованием плотномера с осциллирующей U-образной трубкой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ISO 22854-2022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 жидкие. Определение группового содержания углеводородов и кислородсодержащих соединений в автомобильном бензине и автомобильном этанольном топливе (Е85) методом многомерной газовой хроматографии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3104-2025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Нефтепродукты. Прозрачные и непрозрачные жидкости. Определение кинематической вязкости и расчет динамической вязкости </w:t>
            </w:r>
          </w:p>
        </w:tc>
      </w:tr>
    </w:tbl>
    <w:p w:rsidR="00C35EB0" w:rsidRDefault="00C35EB0" w:rsidP="009F057E">
      <w:pPr>
        <w:adjustRightInd/>
        <w:rPr>
          <w:rFonts w:ascii="Times New Roman" w:hAnsi="Times New Roman" w:cs="Times New Roman"/>
          <w:b/>
          <w:sz w:val="28"/>
          <w:szCs w:val="28"/>
        </w:rPr>
      </w:pPr>
    </w:p>
    <w:p w:rsidR="009F057E" w:rsidRPr="000755C7" w:rsidRDefault="009F057E" w:rsidP="009F057E">
      <w:pPr>
        <w:adjustRightInd/>
        <w:rPr>
          <w:rFonts w:ascii="Times New Roman" w:hAnsi="Times New Roman" w:cs="Times New Roman"/>
          <w:b/>
          <w:sz w:val="28"/>
          <w:szCs w:val="28"/>
        </w:rPr>
      </w:pPr>
      <w:r w:rsidRPr="000755C7">
        <w:rPr>
          <w:rFonts w:ascii="Times New Roman" w:hAnsi="Times New Roman" w:cs="Times New Roman"/>
          <w:b/>
          <w:sz w:val="28"/>
          <w:szCs w:val="28"/>
        </w:rPr>
        <w:t>Жидкое топливо</w:t>
      </w:r>
    </w:p>
    <w:p w:rsidR="009F057E" w:rsidRPr="000755C7" w:rsidRDefault="009F057E" w:rsidP="009F057E">
      <w:pPr>
        <w:adjustRightInd/>
        <w:rPr>
          <w:rFonts w:ascii="Times New Roman" w:hAnsi="Times New Roman" w:cs="Times New Roman"/>
          <w:sz w:val="28"/>
          <w:szCs w:val="28"/>
        </w:rPr>
      </w:pPr>
    </w:p>
    <w:tbl>
      <w:tblPr>
        <w:tblW w:w="10343" w:type="dxa"/>
        <w:tblLayout w:type="fixed"/>
        <w:tblLook w:val="0000" w:firstRow="0" w:lastRow="0" w:firstColumn="0" w:lastColumn="0" w:noHBand="0" w:noVBand="0"/>
      </w:tblPr>
      <w:tblGrid>
        <w:gridCol w:w="3114"/>
        <w:gridCol w:w="7229"/>
      </w:tblGrid>
      <w:tr w:rsidR="007503E4" w:rsidRPr="000755C7" w:rsidTr="00700B6F">
        <w:trPr>
          <w:tblHeader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Обозначение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32350-2024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Бензины. Определение свинца методом атомно-абсорбционной спектрометрии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33192-2024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 и другие жидкости. Метод определения температуры вспышки на приборе Тага с закрытым тиглем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33196-2025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Топлива нефтяные. Определение свободной воды и механических примесей визуальным методом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ГОСТ 35331-2026</w:t>
            </w:r>
            <w:r w:rsidRPr="000755C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(EN 589:2024)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Топлива для двигателей внутреннего сгорания. Газы углеводородные сжиженные. Технические требования и методы испытаний </w:t>
            </w:r>
          </w:p>
        </w:tc>
      </w:tr>
    </w:tbl>
    <w:p w:rsidR="009F057E" w:rsidRPr="000755C7" w:rsidRDefault="009F057E" w:rsidP="006C774C">
      <w:pPr>
        <w:adjustRightInd/>
        <w:rPr>
          <w:rFonts w:ascii="Times New Roman" w:hAnsi="Times New Roman" w:cs="Times New Roman"/>
          <w:sz w:val="28"/>
          <w:szCs w:val="28"/>
        </w:rPr>
      </w:pPr>
    </w:p>
    <w:p w:rsidR="006C774C" w:rsidRPr="000755C7" w:rsidRDefault="006C774C" w:rsidP="006C774C">
      <w:pPr>
        <w:adjustRightInd/>
        <w:rPr>
          <w:rFonts w:ascii="Times New Roman" w:hAnsi="Times New Roman" w:cs="Times New Roman"/>
          <w:b/>
          <w:sz w:val="28"/>
          <w:szCs w:val="28"/>
        </w:rPr>
      </w:pPr>
      <w:r w:rsidRPr="000755C7">
        <w:rPr>
          <w:rFonts w:ascii="Times New Roman" w:hAnsi="Times New Roman" w:cs="Times New Roman"/>
          <w:b/>
          <w:sz w:val="28"/>
          <w:szCs w:val="28"/>
        </w:rPr>
        <w:t>Природный газ</w:t>
      </w:r>
    </w:p>
    <w:p w:rsidR="006C774C" w:rsidRPr="000755C7" w:rsidRDefault="006C774C" w:rsidP="006C774C">
      <w:pPr>
        <w:adjustRightInd/>
        <w:rPr>
          <w:rFonts w:ascii="Times New Roman" w:hAnsi="Times New Roman" w:cs="Times New Roman"/>
          <w:sz w:val="28"/>
          <w:szCs w:val="28"/>
        </w:rPr>
      </w:pPr>
    </w:p>
    <w:tbl>
      <w:tblPr>
        <w:tblW w:w="10343" w:type="dxa"/>
        <w:tblLayout w:type="fixed"/>
        <w:tblLook w:val="0000" w:firstRow="0" w:lastRow="0" w:firstColumn="0" w:lastColumn="0" w:noHBand="0" w:noVBand="0"/>
      </w:tblPr>
      <w:tblGrid>
        <w:gridCol w:w="3114"/>
        <w:gridCol w:w="7229"/>
      </w:tblGrid>
      <w:tr w:rsidR="007503E4" w:rsidRPr="000755C7" w:rsidTr="00700B6F">
        <w:trPr>
          <w:tblHeader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Обозначение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5542-2022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 промышленного и коммунально-бытового назначения. Технические условия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22387.2-2021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природный. Методы определения сероводорода и меркаптановой серы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22387.5-2021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для коммунально-бытового потребления. Методы определения интенсивности запаха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27577-2022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 топливный компримированный для двигателей внутреннего сгорания. Технические условия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ГОСТ 31369-2021</w:t>
            </w:r>
            <w:r w:rsidRPr="000755C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(ISO 6976:2016)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природный. Вычисление теплоты сгорания, плотности, относительной плотности и числа Воббе на основе компонентного состава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31370-2023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природный. Руководство по отбору проб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ГОСТ 31371.3-2025</w:t>
            </w:r>
            <w:r w:rsidRPr="000755C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(ISO 6974-3:2018)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природный. Определение состава методом газовой хроматографии с оценкой неопределенности. Часть 3. Прецизионность и смещение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ГОСТ 31371.5-2022</w:t>
            </w:r>
            <w:r w:rsidRPr="000755C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(ISO 6974-5:2014)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природный. Определение состава методом газовой хроматографии с оценкой неопределенности. Часть 5. Определение азота, диоксида углерода и углеводородов С1 - С5 и С6+ изотермическим методом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34770-2021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природный. Стандартные условия измерения и вычисления физико-химических свойств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34807-2021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природный. Методы расчета температуры точки росы по воде и массовой концентрации водяных паров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34867-2022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природный, подготовленный к транспортированию по магистральным газопроводам. Технические условия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ГОСТ 34893-2022</w:t>
            </w:r>
            <w:r w:rsidRPr="000755C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(ISO 10723:2012)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природный. Оценка эффективности аналитических систем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34894-2022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 сжиженный. Технические условия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ГОСТ 34895-2022</w:t>
            </w:r>
            <w:r w:rsidRPr="000755C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(ISO 14532:2014)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природный. Качество. Термины и определения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ГОСТ 34898-2022</w:t>
            </w:r>
            <w:r w:rsidRPr="000755C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(ISO/TR 29922:2017)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природный. Вспомогательная информация для вычисления физических свойств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ГОСТ 34962-2023</w:t>
            </w:r>
            <w:r w:rsidRPr="000755C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(ISO 23219:2022)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природный. Представление данных газохроматографического анализа. Формат файла XML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ГОСТ 35011-2023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 сжиженный. Руководство по отбору проб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35032-2023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природный. Определение кислорода электрохимическим методом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35033-2023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природный. Определение содержания водяных паров сорбционными методами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35039-2023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природный. Определение содержания механических примесей </w:t>
            </w:r>
          </w:p>
        </w:tc>
      </w:tr>
    </w:tbl>
    <w:p w:rsidR="006C774C" w:rsidRPr="000755C7" w:rsidRDefault="006C774C" w:rsidP="006C774C">
      <w:pPr>
        <w:adjustRightInd/>
        <w:rPr>
          <w:rFonts w:ascii="Times New Roman" w:hAnsi="Times New Roman" w:cs="Times New Roman"/>
          <w:sz w:val="28"/>
          <w:szCs w:val="28"/>
        </w:rPr>
      </w:pPr>
    </w:p>
    <w:p w:rsidR="009F057E" w:rsidRPr="000755C7" w:rsidRDefault="009F057E" w:rsidP="009F057E">
      <w:pPr>
        <w:adjustRightInd/>
        <w:rPr>
          <w:rFonts w:ascii="Times New Roman" w:hAnsi="Times New Roman" w:cs="Times New Roman"/>
          <w:b/>
          <w:sz w:val="28"/>
          <w:szCs w:val="28"/>
        </w:rPr>
      </w:pPr>
      <w:r w:rsidRPr="000755C7">
        <w:rPr>
          <w:rFonts w:ascii="Times New Roman" w:hAnsi="Times New Roman" w:cs="Times New Roman"/>
          <w:b/>
          <w:sz w:val="28"/>
          <w:szCs w:val="28"/>
        </w:rPr>
        <w:t>Газообразное топливо</w:t>
      </w:r>
    </w:p>
    <w:p w:rsidR="009F057E" w:rsidRPr="000755C7" w:rsidRDefault="009F057E" w:rsidP="009F057E">
      <w:pPr>
        <w:adjustRightInd/>
        <w:rPr>
          <w:rFonts w:ascii="Times New Roman" w:hAnsi="Times New Roman" w:cs="Times New Roman"/>
          <w:sz w:val="28"/>
          <w:szCs w:val="28"/>
        </w:rPr>
      </w:pPr>
    </w:p>
    <w:tbl>
      <w:tblPr>
        <w:tblW w:w="10343" w:type="dxa"/>
        <w:tblLayout w:type="fixed"/>
        <w:tblLook w:val="0000" w:firstRow="0" w:lastRow="0" w:firstColumn="0" w:lastColumn="0" w:noHBand="0" w:noVBand="0"/>
      </w:tblPr>
      <w:tblGrid>
        <w:gridCol w:w="3114"/>
        <w:gridCol w:w="7229"/>
      </w:tblGrid>
      <w:tr w:rsidR="007503E4" w:rsidRPr="000755C7" w:rsidTr="00700B6F">
        <w:trPr>
          <w:tblHeader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Обозначение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14920-2024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Газы нефтепереработки и газопереработки. Определение компонентного состава методом газовой хроматографии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34782-2021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Газы углеводородные сжиженные и смеси пропан-пропиленовые. Метод определения углеводородного состава с помощью газовой хроматографии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34858-2022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Газы углеводородные сжиженные топливные. Технические условия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35228-2024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Газы углеводородные сжиженные. Определение серосодержащих соединений методом газовой хроматографии </w:t>
            </w:r>
          </w:p>
        </w:tc>
      </w:tr>
    </w:tbl>
    <w:p w:rsidR="006C774C" w:rsidRPr="000755C7" w:rsidRDefault="006C774C" w:rsidP="00FB272C">
      <w:pPr>
        <w:adjustRightInd/>
        <w:rPr>
          <w:rFonts w:ascii="Times New Roman" w:hAnsi="Times New Roman" w:cs="Times New Roman"/>
          <w:sz w:val="28"/>
          <w:szCs w:val="28"/>
        </w:rPr>
      </w:pPr>
    </w:p>
    <w:p w:rsidR="001F0012" w:rsidRPr="000755C7" w:rsidRDefault="001F0012" w:rsidP="001F0012">
      <w:pPr>
        <w:adjustRightInd/>
        <w:rPr>
          <w:rFonts w:ascii="Times New Roman" w:hAnsi="Times New Roman" w:cs="Times New Roman"/>
          <w:b/>
          <w:sz w:val="28"/>
          <w:szCs w:val="28"/>
        </w:rPr>
      </w:pPr>
      <w:r w:rsidRPr="000755C7">
        <w:rPr>
          <w:rFonts w:ascii="Times New Roman" w:hAnsi="Times New Roman" w:cs="Times New Roman"/>
          <w:b/>
          <w:sz w:val="28"/>
          <w:szCs w:val="28"/>
        </w:rPr>
        <w:t>Электрические дорожно-транспортные средства</w:t>
      </w:r>
    </w:p>
    <w:p w:rsidR="001F0012" w:rsidRPr="000755C7" w:rsidRDefault="001F0012" w:rsidP="001F0012">
      <w:pPr>
        <w:adjustRightInd/>
        <w:rPr>
          <w:rFonts w:ascii="Times New Roman" w:hAnsi="Times New Roman" w:cs="Times New Roman"/>
          <w:sz w:val="28"/>
          <w:szCs w:val="28"/>
        </w:rPr>
      </w:pPr>
    </w:p>
    <w:tbl>
      <w:tblPr>
        <w:tblW w:w="10343" w:type="dxa"/>
        <w:tblLayout w:type="fixed"/>
        <w:tblLook w:val="0000" w:firstRow="0" w:lastRow="0" w:firstColumn="0" w:lastColumn="0" w:noHBand="0" w:noVBand="0"/>
      </w:tblPr>
      <w:tblGrid>
        <w:gridCol w:w="3114"/>
        <w:gridCol w:w="7229"/>
      </w:tblGrid>
      <w:tr w:rsidR="007503E4" w:rsidRPr="000755C7" w:rsidTr="00700B6F">
        <w:trPr>
          <w:tblHeader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Обозначение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IEC 61851-25-2024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Система зарядки электрических транспортных средств проводная. Часть 25. Оборудование электропитания постоянного тока с электрическим разделением для обеспечения защиты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12405-3-2021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Транспортные средства дорожные с электроприводом. Техническое описание испытаний тяговых литий-ионных батарей и систем. Часть 3. Требования к характеристикам безопасности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12405-4-2021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Транспортные средства дорожные с электроприводом. Техническое описание испытаний тяговых литий-ионных батарей и систем. Часть 4. Испытания эксплуатационных характеристик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17409-2022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 дорожный с электроприводом. Присоединение к внешнему источнику электропитания. Требования безопасности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СТБ ISO 18300-2021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Транспортные средства с электроприводом. Технические условия на системы литий-ионных батарей со свинцово-кислотной батареей или конденсатором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21498-1-2022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 дорожный с электроприводом. Электрические характеристики и испытания систем и компонентов класса напряжения В. Часть 1. Подклассы напряжения и характеристики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21498-2-2022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 дорожный с электроприводом. Электрические характеристики и испытания систем и компонентов класса напряжения В. Часть 2. Электрические испытания компонентов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21782-1-2021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 дорожный с электроприводом. Требования к испытаниям компонентов электрической тяги. Часть 1. Общие условия испытаний. Термины и определения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21782-4-2022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 дорожный с электроприводом. Требования к испытаниям компонентов электрической тяги. Часть 4. Испытание характеристик преобразователя постоянного тока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21782-5-2022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 дорожный с электроприводом. Требования к испытаниям компонентов электрической тяги. Часть 5. Испытание системы двигателя рабочей нагрузкой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21782-6-2021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 дорожный с электроприводом. Требования к испытаниям компонентов электрической тяги. Часть 6. Ресурсные испытания двигателя и инвертора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21782-7-2022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 дорожный с электроприводом. Требования к испытаниям компонентов электрической тяги. Часть 7. Испытание преобразователя постоянного тока под рабочей нагрузкой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23274-2-2021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 дорожный с электроприводом гибридный. Измерение выбросов загрязняющих веществ в отработавших газах и расхода топлива. Часть 2. Транспортные средства с внешней зарядкой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ISO/TR 8713-2021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 дорожный с электроприводом. Термины и определения </w:t>
            </w:r>
          </w:p>
        </w:tc>
      </w:tr>
    </w:tbl>
    <w:p w:rsidR="00E9442D" w:rsidRPr="000755C7" w:rsidRDefault="00E9442D">
      <w:pPr>
        <w:adjustRightInd/>
        <w:rPr>
          <w:rFonts w:ascii="Times New Roman" w:hAnsi="Times New Roman" w:cs="Times New Roman"/>
          <w:sz w:val="28"/>
          <w:szCs w:val="28"/>
        </w:rPr>
      </w:pPr>
    </w:p>
    <w:sectPr w:rsidR="00E9442D" w:rsidRPr="000755C7" w:rsidSect="007503E4">
      <w:footerReference w:type="default" r:id="rId7"/>
      <w:pgSz w:w="11906" w:h="16838" w:code="9"/>
      <w:pgMar w:top="1134" w:right="1247" w:bottom="1814" w:left="1021" w:header="1134" w:footer="124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77B2" w:rsidRDefault="003577B2">
      <w:r>
        <w:separator/>
      </w:r>
    </w:p>
  </w:endnote>
  <w:endnote w:type="continuationSeparator" w:id="0">
    <w:p w:rsidR="003577B2" w:rsidRDefault="00357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402" w:rsidRDefault="00AE22D4">
    <w:pPr>
      <w:tabs>
        <w:tab w:val="center" w:pos="4153"/>
        <w:tab w:val="right" w:pos="8306"/>
      </w:tabs>
      <w:adjustRightInd/>
      <w:jc w:val="center"/>
      <w:rPr>
        <w:lang w:val="en-US"/>
      </w:rPr>
    </w:pPr>
    <w:r>
      <w:rPr>
        <w:lang w:val="en-US"/>
      </w:rPr>
      <w:fldChar w:fldCharType="begin"/>
    </w:r>
    <w:r>
      <w:rPr>
        <w:lang w:val="en-US"/>
      </w:rPr>
      <w:instrText xml:space="preserve">PAGE </w:instrText>
    </w:r>
    <w:r>
      <w:rPr>
        <w:lang w:val="en-US"/>
      </w:rPr>
      <w:fldChar w:fldCharType="separate"/>
    </w:r>
    <w:r w:rsidR="00C44EF2">
      <w:rPr>
        <w:noProof/>
        <w:lang w:val="en-US"/>
      </w:rPr>
      <w:t>1</w:t>
    </w:r>
    <w:r>
      <w:rPr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77B2" w:rsidRDefault="003577B2">
      <w:r>
        <w:separator/>
      </w:r>
    </w:p>
  </w:footnote>
  <w:footnote w:type="continuationSeparator" w:id="0">
    <w:p w:rsidR="003577B2" w:rsidRDefault="003577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B12"/>
    <w:rsid w:val="00057645"/>
    <w:rsid w:val="000755C7"/>
    <w:rsid w:val="000F3B12"/>
    <w:rsid w:val="001D1D88"/>
    <w:rsid w:val="001D2D48"/>
    <w:rsid w:val="001F0012"/>
    <w:rsid w:val="002D3AA8"/>
    <w:rsid w:val="003577B2"/>
    <w:rsid w:val="003C3403"/>
    <w:rsid w:val="004751E6"/>
    <w:rsid w:val="006C774C"/>
    <w:rsid w:val="00700B6F"/>
    <w:rsid w:val="007503E4"/>
    <w:rsid w:val="0081450A"/>
    <w:rsid w:val="00831EFC"/>
    <w:rsid w:val="00991402"/>
    <w:rsid w:val="009F057E"/>
    <w:rsid w:val="00A15879"/>
    <w:rsid w:val="00AE22D4"/>
    <w:rsid w:val="00BB35B2"/>
    <w:rsid w:val="00C35EB0"/>
    <w:rsid w:val="00C44EF2"/>
    <w:rsid w:val="00E9442D"/>
    <w:rsid w:val="00EF2AD2"/>
    <w:rsid w:val="00FB2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2508A36-F6F3-4D63-B812-940EEEC37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b/>
      <w:bCs/>
      <w:i/>
      <w:iCs/>
      <w:kern w:val="28"/>
      <w:sz w:val="36"/>
      <w:szCs w:val="36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b/>
      <w:bCs/>
      <w:i/>
      <w:iCs/>
      <w:sz w:val="34"/>
      <w:szCs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/>
      <w:outlineLvl w:val="2"/>
    </w:pPr>
    <w:rPr>
      <w:b/>
      <w:bCs/>
      <w:i/>
      <w:iCs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i/>
      <w:iCs/>
      <w:sz w:val="30"/>
      <w:szCs w:val="30"/>
    </w:rPr>
  </w:style>
  <w:style w:type="paragraph" w:styleId="5">
    <w:name w:val="heading 5"/>
    <w:basedOn w:val="a"/>
    <w:next w:val="a"/>
    <w:link w:val="50"/>
    <w:uiPriority w:val="99"/>
    <w:qFormat/>
    <w:pPr>
      <w:keepNext/>
      <w:spacing w:before="240" w:after="60"/>
      <w:outlineLvl w:val="4"/>
    </w:pPr>
    <w:rPr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spacing w:before="240" w:after="60"/>
      <w:outlineLvl w:val="5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9"/>
    <w:qFormat/>
    <w:pPr>
      <w:keepNext/>
      <w:spacing w:before="240" w:after="60"/>
      <w:outlineLvl w:val="6"/>
    </w:pPr>
    <w:rPr>
      <w:b/>
      <w:bCs/>
      <w:i/>
      <w:iCs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pPr>
      <w:keepNext/>
      <w:spacing w:before="240" w:after="60"/>
      <w:outlineLvl w:val="7"/>
    </w:pPr>
    <w:rPr>
      <w:b/>
      <w:bCs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pPr>
      <w:keepNext/>
      <w:spacing w:before="240" w:after="60"/>
      <w:outlineLvl w:val="8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1878</Words>
  <Characters>10706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s.tolstsik</dc:creator>
  <cp:keywords/>
  <dc:description/>
  <cp:lastModifiedBy>info1</cp:lastModifiedBy>
  <cp:revision>2</cp:revision>
  <dcterms:created xsi:type="dcterms:W3CDTF">2026-10-08T12:43:00Z</dcterms:created>
  <dcterms:modified xsi:type="dcterms:W3CDTF">2026-10-08T12:43:00Z</dcterms:modified>
</cp:coreProperties>
</file>